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before="0" w:line="240" w:lineRule="auto"/>
        <w:ind w:left="0" w:right="0" w:firstLine="0"/>
        <w:jc w:val="left"/>
        <w:rPr>
          <w:rFonts w:ascii="Arial" w:cs="Arial" w:hAnsi="Arial" w:eastAsia="Arial"/>
          <w:i w:val="1"/>
          <w:iCs w:val="1"/>
          <w:sz w:val="28"/>
          <w:szCs w:val="28"/>
          <w:shd w:val="clear" w:color="auto" w:fill="ffffff"/>
          <w:rtl w:val="0"/>
        </w:rPr>
      </w:pPr>
      <w:r>
        <w:rPr>
          <w:rFonts w:ascii="Arial" w:hAnsi="Arial"/>
          <w:i w:val="1"/>
          <w:iCs w:val="1"/>
          <w:sz w:val="28"/>
          <w:szCs w:val="28"/>
          <w:shd w:val="clear" w:color="auto" w:fill="ffffff"/>
          <w:rtl w:val="0"/>
          <w:lang w:val="en-US"/>
        </w:rPr>
        <w:t>Requirements for applying as an ATI sponsor:</w:t>
      </w:r>
    </w:p>
    <w:p>
      <w:pPr>
        <w:pStyle w:val="Standard"/>
        <w:bidi w:val="0"/>
        <w:spacing w:before="0" w:line="240" w:lineRule="auto"/>
        <w:ind w:left="0" w:right="0" w:firstLine="0"/>
        <w:jc w:val="left"/>
        <w:rPr>
          <w:rFonts w:ascii="Arial" w:cs="Arial" w:hAnsi="Arial" w:eastAsia="Arial"/>
          <w:i w:val="0"/>
          <w:iCs w:val="0"/>
          <w:sz w:val="28"/>
          <w:szCs w:val="28"/>
          <w:shd w:val="clear" w:color="auto" w:fill="ffffff"/>
          <w:rtl w:val="0"/>
        </w:rPr>
      </w:pPr>
    </w:p>
    <w:p>
      <w:pPr>
        <w:pStyle w:val="Standard"/>
        <w:bidi w:val="0"/>
        <w:spacing w:before="0" w:line="240" w:lineRule="auto"/>
        <w:ind w:left="0" w:right="0" w:firstLine="0"/>
        <w:jc w:val="left"/>
        <w:rPr>
          <w:rFonts w:ascii="Arial" w:cs="Arial" w:hAnsi="Arial" w:eastAsia="Arial"/>
          <w:i w:val="1"/>
          <w:iCs w:val="1"/>
          <w:sz w:val="28"/>
          <w:szCs w:val="28"/>
          <w:shd w:val="clear" w:color="auto" w:fill="ffffff"/>
          <w:rtl w:val="0"/>
        </w:rPr>
      </w:pPr>
      <w:r>
        <w:rPr>
          <w:rFonts w:ascii="Arial" w:hAnsi="Arial"/>
          <w:i w:val="1"/>
          <w:iCs w:val="1"/>
          <w:sz w:val="28"/>
          <w:szCs w:val="28"/>
          <w:shd w:val="clear" w:color="auto" w:fill="ffffff"/>
          <w:rtl w:val="0"/>
          <w:lang w:val="en-US"/>
        </w:rPr>
        <w:t>The qualitative nature and inclusivity of the application process places trust in the good judgment of the candidate</w:t>
      </w:r>
      <w:r>
        <w:rPr>
          <w:rFonts w:ascii="Arial" w:hAnsi="Arial" w:hint="default"/>
          <w:i w:val="1"/>
          <w:iCs w:val="1"/>
          <w:sz w:val="28"/>
          <w:szCs w:val="28"/>
          <w:shd w:val="clear" w:color="auto" w:fill="ffffff"/>
          <w:rtl w:val="1"/>
        </w:rPr>
        <w:t>’</w:t>
      </w:r>
      <w:r>
        <w:rPr>
          <w:rFonts w:ascii="Arial" w:hAnsi="Arial"/>
          <w:i w:val="1"/>
          <w:iCs w:val="1"/>
          <w:sz w:val="28"/>
          <w:szCs w:val="28"/>
          <w:shd w:val="clear" w:color="auto" w:fill="ffffff"/>
          <w:rtl w:val="0"/>
          <w:lang w:val="en-US"/>
        </w:rPr>
        <w:t>s nominators, the CCC and the membership.</w:t>
      </w:r>
    </w:p>
    <w:p>
      <w:pPr>
        <w:pStyle w:val="Standard"/>
        <w:bidi w:val="0"/>
        <w:spacing w:before="0" w:line="240" w:lineRule="auto"/>
        <w:ind w:left="0" w:right="0" w:firstLine="0"/>
        <w:jc w:val="left"/>
        <w:rPr>
          <w:rFonts w:ascii="Arial" w:cs="Arial" w:hAnsi="Arial" w:eastAsia="Arial"/>
          <w:i w:val="0"/>
          <w:iCs w:val="0"/>
          <w:sz w:val="28"/>
          <w:szCs w:val="28"/>
          <w:shd w:val="clear" w:color="auto" w:fill="ffffff"/>
          <w:rtl w:val="0"/>
        </w:rPr>
      </w:pPr>
    </w:p>
    <w:p>
      <w:pPr>
        <w:pStyle w:val="Standard"/>
        <w:numPr>
          <w:ilvl w:val="0"/>
          <w:numId w:val="2"/>
        </w:numPr>
        <w:bidi w:val="0"/>
        <w:spacing w:before="0" w:line="240" w:lineRule="auto"/>
        <w:ind w:right="0"/>
        <w:jc w:val="left"/>
        <w:rPr>
          <w:rFonts w:ascii="Arial" w:hAnsi="Arial"/>
          <w:i w:val="1"/>
          <w:iCs w:val="1"/>
          <w:sz w:val="28"/>
          <w:szCs w:val="28"/>
          <w:shd w:val="clear" w:color="auto" w:fill="ffffff"/>
          <w:rtl w:val="0"/>
          <w:lang w:val="en-US"/>
        </w:rPr>
      </w:pPr>
      <w:r>
        <w:rPr>
          <w:rFonts w:ascii="Arial" w:hAnsi="Arial"/>
          <w:i w:val="1"/>
          <w:iCs w:val="1"/>
          <w:sz w:val="28"/>
          <w:szCs w:val="28"/>
          <w:shd w:val="clear" w:color="auto" w:fill="ffffff"/>
          <w:rtl w:val="0"/>
          <w:lang w:val="en-US"/>
        </w:rPr>
        <w:t>Members applying for an ATI Sponsor position must find three ATI members in good standing to nominate the applicant, at least one of whom is an ATI Sponsor. Nominators must have first-hand knowledge of the applicant as a teacher and have experienced the applicant's Alexander Technique teaching.</w:t>
      </w:r>
    </w:p>
    <w:p>
      <w:pPr>
        <w:pStyle w:val="Standard"/>
        <w:numPr>
          <w:ilvl w:val="0"/>
          <w:numId w:val="2"/>
        </w:numPr>
        <w:bidi w:val="0"/>
        <w:spacing w:before="0" w:line="240" w:lineRule="auto"/>
        <w:ind w:right="0"/>
        <w:jc w:val="left"/>
        <w:rPr>
          <w:rFonts w:ascii="Arial" w:hAnsi="Arial"/>
          <w:i w:val="1"/>
          <w:iCs w:val="1"/>
          <w:sz w:val="28"/>
          <w:szCs w:val="28"/>
          <w:shd w:val="clear" w:color="auto" w:fill="ffffff"/>
          <w:rtl w:val="0"/>
          <w:lang w:val="en-US"/>
        </w:rPr>
      </w:pPr>
      <w:r>
        <w:rPr>
          <w:rFonts w:ascii="Arial" w:hAnsi="Arial"/>
          <w:i w:val="1"/>
          <w:iCs w:val="1"/>
          <w:sz w:val="28"/>
          <w:szCs w:val="28"/>
          <w:shd w:val="clear" w:color="auto" w:fill="ffffff"/>
          <w:rtl w:val="0"/>
          <w:lang w:val="en-US"/>
        </w:rPr>
        <w:t>The applicant holds an ATI teaching certificate.</w:t>
      </w:r>
    </w:p>
    <w:p>
      <w:pPr>
        <w:pStyle w:val="Standard"/>
        <w:numPr>
          <w:ilvl w:val="0"/>
          <w:numId w:val="2"/>
        </w:numPr>
        <w:bidi w:val="0"/>
        <w:spacing w:before="0" w:line="240" w:lineRule="auto"/>
        <w:ind w:right="0"/>
        <w:jc w:val="left"/>
        <w:rPr>
          <w:rFonts w:ascii="Arial" w:hAnsi="Arial"/>
          <w:i w:val="1"/>
          <w:iCs w:val="1"/>
          <w:sz w:val="28"/>
          <w:szCs w:val="28"/>
          <w:shd w:val="clear" w:color="auto" w:fill="ffffff"/>
          <w:rtl w:val="0"/>
          <w:lang w:val="en-US"/>
        </w:rPr>
      </w:pPr>
      <w:r>
        <w:rPr>
          <w:rFonts w:ascii="Arial" w:hAnsi="Arial"/>
          <w:i w:val="1"/>
          <w:iCs w:val="1"/>
          <w:sz w:val="28"/>
          <w:szCs w:val="28"/>
          <w:shd w:val="clear" w:color="auto" w:fill="ffffff"/>
          <w:rtl w:val="0"/>
          <w:lang w:val="en-US"/>
        </w:rPr>
        <w:t>The applicant has currently been a member of ATI for several years and during that time has served on a committee or board of directors for more than one year and has attended the business meetings at more than one annual conference.</w:t>
      </w:r>
    </w:p>
    <w:p>
      <w:pPr>
        <w:pStyle w:val="Standard"/>
        <w:numPr>
          <w:ilvl w:val="0"/>
          <w:numId w:val="2"/>
        </w:numPr>
        <w:bidi w:val="0"/>
        <w:spacing w:before="0" w:line="240" w:lineRule="auto"/>
        <w:ind w:right="0"/>
        <w:jc w:val="left"/>
        <w:rPr>
          <w:rFonts w:ascii="Arial" w:hAnsi="Arial"/>
          <w:i w:val="1"/>
          <w:iCs w:val="1"/>
          <w:sz w:val="28"/>
          <w:szCs w:val="28"/>
          <w:shd w:val="clear" w:color="auto" w:fill="ffffff"/>
          <w:rtl w:val="0"/>
          <w:lang w:val="en-US"/>
        </w:rPr>
      </w:pPr>
      <w:r>
        <w:rPr>
          <w:rFonts w:ascii="Arial" w:hAnsi="Arial"/>
          <w:i w:val="1"/>
          <w:iCs w:val="1"/>
          <w:sz w:val="28"/>
          <w:szCs w:val="28"/>
          <w:shd w:val="clear" w:color="auto" w:fill="ffffff"/>
          <w:rtl w:val="0"/>
          <w:lang w:val="en-US"/>
        </w:rPr>
        <w:t>The applicant has been teaching the Alexander Technique professionally for at least 7 years.</w:t>
      </w:r>
    </w:p>
    <w:p>
      <w:pPr>
        <w:pStyle w:val="Standard"/>
        <w:bidi w:val="0"/>
        <w:spacing w:before="0" w:line="240" w:lineRule="auto"/>
        <w:ind w:left="0" w:right="0" w:firstLine="0"/>
        <w:jc w:val="left"/>
        <w:rPr>
          <w:rFonts w:ascii="Arial" w:cs="Arial" w:hAnsi="Arial" w:eastAsia="Arial"/>
          <w:i w:val="1"/>
          <w:iCs w:val="1"/>
          <w:sz w:val="28"/>
          <w:szCs w:val="28"/>
          <w:shd w:val="clear" w:color="auto" w:fill="ffffff"/>
          <w:rtl w:val="0"/>
        </w:rPr>
      </w:pPr>
    </w:p>
    <w:p>
      <w:pPr>
        <w:pStyle w:val="Standard"/>
        <w:bidi w:val="0"/>
        <w:spacing w:before="0" w:line="240" w:lineRule="auto"/>
        <w:ind w:left="0" w:right="0" w:firstLine="0"/>
        <w:jc w:val="left"/>
        <w:rPr>
          <w:rFonts w:ascii="Arial" w:cs="Arial" w:hAnsi="Arial" w:eastAsia="Arial"/>
          <w:i w:val="1"/>
          <w:iCs w:val="1"/>
          <w:sz w:val="28"/>
          <w:szCs w:val="28"/>
          <w:shd w:val="clear" w:color="auto" w:fill="ffffff"/>
          <w:rtl w:val="0"/>
        </w:rPr>
      </w:pPr>
    </w:p>
    <w:p>
      <w:pPr>
        <w:pStyle w:val="Standard"/>
        <w:bidi w:val="0"/>
        <w:spacing w:before="0" w:line="240" w:lineRule="auto"/>
        <w:ind w:left="0" w:right="0" w:firstLine="0"/>
        <w:jc w:val="left"/>
        <w:rPr>
          <w:rFonts w:ascii="Arial" w:cs="Arial" w:hAnsi="Arial" w:eastAsia="Arial"/>
          <w:i w:val="1"/>
          <w:iCs w:val="1"/>
          <w:sz w:val="28"/>
          <w:szCs w:val="28"/>
          <w:shd w:val="clear" w:color="auto" w:fill="ffffff"/>
          <w:rtl w:val="0"/>
        </w:rPr>
      </w:pPr>
    </w:p>
    <w:p>
      <w:pPr>
        <w:pStyle w:val="Standard"/>
        <w:bidi w:val="0"/>
        <w:spacing w:before="0" w:line="240" w:lineRule="auto"/>
        <w:ind w:left="0" w:right="0" w:firstLine="0"/>
        <w:jc w:val="left"/>
        <w:rPr>
          <w:rtl w:val="0"/>
        </w:rPr>
      </w:pPr>
      <w:r>
        <w:rPr>
          <w:rFonts w:ascii="Arial" w:hAnsi="Arial"/>
          <w:i w:val="1"/>
          <w:iCs w:val="1"/>
          <w:sz w:val="28"/>
          <w:szCs w:val="28"/>
          <w:shd w:val="clear" w:color="auto" w:fill="ffffff"/>
          <w:rtl w:val="0"/>
          <w:lang w:val="de-DE"/>
        </w:rPr>
        <w:t>2022 Adopted Policy</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kt"/>
  </w:abstractNum>
  <w:abstractNum w:abstractNumId="1">
    <w:multiLevelType w:val="hybridMultilevel"/>
    <w:styleLink w:val="Punkt"/>
    <w:lvl w:ilvl="0">
      <w:start w:val="1"/>
      <w:numFmt w:val="bullet"/>
      <w:suff w:val="tab"/>
      <w:lvlText w:val="•"/>
      <w:lvlJc w:val="left"/>
      <w:pPr>
        <w:ind w:left="720" w:hanging="500"/>
      </w:pPr>
      <w:rPr>
        <w:rFonts w:ascii="Arial" w:cs="Arial" w:hAnsi="Arial" w:eastAsia="Arial"/>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Arial" w:cs="Arial" w:hAnsi="Arial" w:eastAsia="Arial"/>
        <w:b w:val="0"/>
        <w:bCs w:val="0"/>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Arial" w:cs="Arial" w:hAnsi="Arial" w:eastAsia="Arial"/>
        <w:b w:val="0"/>
        <w:bCs w:val="0"/>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Arial" w:cs="Arial" w:hAnsi="Arial" w:eastAsia="Arial"/>
        <w:b w:val="0"/>
        <w:bCs w:val="0"/>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Arial" w:cs="Arial" w:hAnsi="Arial" w:eastAsia="Arial"/>
        <w:b w:val="0"/>
        <w:bCs w:val="0"/>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Arial" w:cs="Arial" w:hAnsi="Arial" w:eastAsia="Arial"/>
        <w:b w:val="0"/>
        <w:bCs w:val="0"/>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Arial" w:cs="Arial" w:hAnsi="Arial" w:eastAsia="Arial"/>
        <w:b w:val="0"/>
        <w:bCs w:val="0"/>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Arial" w:cs="Arial" w:hAnsi="Arial" w:eastAsia="Arial"/>
        <w:b w:val="0"/>
        <w:bCs w:val="0"/>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Arial" w:cs="Arial" w:hAnsi="Arial" w:eastAsia="Arial"/>
        <w:b w:val="0"/>
        <w:bCs w:val="0"/>
        <w:i w:val="1"/>
        <w:i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Punkt">
    <w:name w:val="Punkt"/>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D8ACB950C724E9261F7C879441072" ma:contentTypeVersion="18" ma:contentTypeDescription="Create a new document." ma:contentTypeScope="" ma:versionID="339f59cbbafb0bf7da0ac87b100e8e92">
  <xsd:schema xmlns:xsd="http://www.w3.org/2001/XMLSchema" xmlns:xs="http://www.w3.org/2001/XMLSchema" xmlns:p="http://schemas.microsoft.com/office/2006/metadata/properties" xmlns:ns2="40f7d966-abbc-47f5-837e-aef846b2dcff" xmlns:ns3="2ee99806-4cb2-43c1-a021-ac2ecd43b639" targetNamespace="http://schemas.microsoft.com/office/2006/metadata/properties" ma:root="true" ma:fieldsID="18f0aeee46a229a6e4522a586bd64517" ns2:_="" ns3:_="">
    <xsd:import namespace="40f7d966-abbc-47f5-837e-aef846b2dcff"/>
    <xsd:import namespace="2ee99806-4cb2-43c1-a021-ac2ecd43b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7d966-abbc-47f5-837e-aef846b2d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10763f-2097-46ce-97ba-6f196ea01ea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e99806-4cb2-43c1-a021-ac2ecd43b6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9c2dc2-e0df-4ebb-97f3-051000f15b2c}" ma:internalName="TaxCatchAll" ma:showField="CatchAllData" ma:web="2ee99806-4cb2-43c1-a021-ac2ecd43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F4C47-2F41-41D1-8E7A-58D8CC095080}"/>
</file>

<file path=customXml/itemProps2.xml><?xml version="1.0" encoding="utf-8"?>
<ds:datastoreItem xmlns:ds="http://schemas.openxmlformats.org/officeDocument/2006/customXml" ds:itemID="{DC61BB1D-DCC9-4FF6-B82F-2F35731C5C5B}"/>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